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center"/>
        <w:rPr>
          <w:rFonts w:ascii="Calibri" w:hAnsi="Calibri" w:cs="Calibri" w:asciiTheme="minorHAnsi" w:cstheme="minorHAnsi" w:hAnsiTheme="minorHAnsi"/>
          <w:b/>
          <w:bCs/>
          <w:sz w:val="40"/>
          <w:szCs w:val="40"/>
        </w:rPr>
      </w:pPr>
      <w:r>
        <w:rPr>
          <w:rFonts w:cs="Calibri" w:ascii="Calibri" w:hAnsi="Calibri" w:asciiTheme="minorHAnsi" w:cstheme="minorHAnsi" w:hAnsiTheme="minorHAnsi"/>
          <w:b/>
          <w:bCs/>
          <w:sz w:val="40"/>
          <w:szCs w:val="40"/>
        </w:rPr>
        <w:t>Reasonable Adjustments Policy</w:t>
      </w:r>
    </w:p>
    <w:p>
      <w:pPr>
        <w:pStyle w:val="BodyText"/>
        <w:spacing w:before="9" w:after="0"/>
        <w:rPr>
          <w:rFonts w:ascii="Times New Roman" w:hAnsi="Times New Roman"/>
          <w:sz w:val="17"/>
        </w:rPr>
      </w:pPr>
      <w:r>
        <w:rPr>
          <w:rFonts w:ascii="Times New Roman" w:hAnsi="Times New Roman"/>
          <w:sz w:val="17"/>
        </w:rPr>
      </w: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Aims and Objectives of the Policy</w:t>
      </w:r>
    </w:p>
    <w:p>
      <w:pPr>
        <w:pStyle w:val="BodyText"/>
        <w:rPr>
          <w:rFonts w:ascii="Calibri" w:hAnsi="Calibri" w:cs="Calibri" w:asciiTheme="minorHAnsi" w:cstheme="minorHAnsi" w:hAnsiTheme="minorHAnsi"/>
          <w:b/>
          <w:sz w:val="24"/>
          <w:szCs w:val="24"/>
        </w:rPr>
      </w:pPr>
      <w:r>
        <w:rPr>
          <w:rFonts w:cs="Calibri" w:cstheme="minorHAnsi" w:ascii="Calibri" w:hAnsi="Calibri"/>
          <w:b/>
          <w:sz w:val="24"/>
          <w:szCs w:val="24"/>
        </w:rPr>
      </w:r>
    </w:p>
    <w:p>
      <w:pPr>
        <w:sectPr>
          <w:headerReference w:type="even" r:id="rId2"/>
          <w:headerReference w:type="default" r:id="rId3"/>
          <w:headerReference w:type="first" r:id="rId4"/>
          <w:type w:val="nextPage"/>
          <w:pgSz w:w="11906" w:h="16838"/>
          <w:pgMar w:left="1300" w:right="740" w:gutter="0" w:header="735" w:top="1040" w:footer="0" w:bottom="280"/>
          <w:pgNumType w:fmt="decimal"/>
          <w:formProt w:val="false"/>
          <w:textDirection w:val="lrTb"/>
          <w:docGrid w:type="default" w:linePitch="600" w:charSpace="36864"/>
        </w:sectPr>
      </w:pPr>
    </w:p>
    <w:p>
      <w:pPr>
        <w:pStyle w:val="BodyText"/>
        <w:spacing w:before="96" w:after="0"/>
        <w:ind w:left="346"/>
        <w:rPr>
          <w:rFonts w:ascii="Calibri" w:hAnsi="Calibri" w:cs="Calibri" w:asciiTheme="minorHAnsi" w:cstheme="minorHAnsi" w:hAnsiTheme="minorHAnsi"/>
          <w:sz w:val="24"/>
          <w:szCs w:val="24"/>
        </w:rPr>
      </w:pP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has a duty under the Equality Act 2010 to make any reasonable</w:t>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adjustments that can be made for our learners to ensure they are not discriminated against.</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99"/>
        <w:rPr>
          <w:rFonts w:ascii="Calibri" w:hAnsi="Calibri" w:cs="Calibri" w:asciiTheme="minorHAnsi" w:cstheme="minorHAnsi" w:hAnsiTheme="minorHAnsi"/>
          <w:sz w:val="24"/>
          <w:szCs w:val="24"/>
        </w:rPr>
      </w:pPr>
      <w:r>
        <w:rPr>
          <w:rFonts w:cs="Calibri" w:ascii="Calibri" w:hAnsi="Calibri" w:asciiTheme="minorHAnsi" w:cstheme="minorHAnsi" w:hAnsiTheme="minorHAnsi"/>
          <w:spacing w:val="3"/>
          <w:sz w:val="24"/>
          <w:szCs w:val="24"/>
        </w:rPr>
        <w:t xml:space="preserve">We </w:t>
      </w:r>
      <w:r>
        <w:rPr>
          <w:rFonts w:cs="Calibri" w:ascii="Calibri" w:hAnsi="Calibri" w:asciiTheme="minorHAnsi" w:cstheme="minorHAnsi" w:hAnsiTheme="minorHAnsi"/>
          <w:sz w:val="24"/>
          <w:szCs w:val="24"/>
        </w:rPr>
        <w:t>aim to facilitate open and fair access to our training for learners who are eligible for reasonable</w:t>
      </w:r>
      <w:r>
        <w:rPr>
          <w:rFonts w:cs="Calibri" w:ascii="Calibri" w:hAnsi="Calibri" w:asciiTheme="minorHAnsi" w:cstheme="minorHAnsi" w:hAnsiTheme="minorHAnsi"/>
          <w:spacing w:val="48"/>
          <w:sz w:val="24"/>
          <w:szCs w:val="24"/>
        </w:rPr>
        <w:t xml:space="preserve"> </w:t>
      </w:r>
      <w:r>
        <w:rPr>
          <w:rFonts w:cs="Calibri" w:ascii="Calibri" w:hAnsi="Calibri" w:asciiTheme="minorHAnsi" w:cstheme="minorHAnsi" w:hAnsiTheme="minorHAnsi"/>
          <w:sz w:val="24"/>
          <w:szCs w:val="24"/>
        </w:rPr>
        <w:t>adjustments</w:t>
      </w:r>
      <w:r>
        <w:rPr>
          <w:rFonts w:cs="Calibri" w:ascii="Calibri" w:hAnsi="Calibri" w:asciiTheme="minorHAnsi" w:cstheme="minorHAnsi" w:hAnsiTheme="minorHAnsi"/>
          <w:spacing w:val="48"/>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47"/>
          <w:sz w:val="24"/>
          <w:szCs w:val="24"/>
        </w:rPr>
        <w:t xml:space="preserve">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spacing w:val="48"/>
          <w:sz w:val="24"/>
          <w:szCs w:val="24"/>
        </w:rPr>
        <w:t xml:space="preserve"> </w:t>
      </w:r>
      <w:r>
        <w:rPr>
          <w:rFonts w:cs="Calibri" w:ascii="Calibri" w:hAnsi="Calibri" w:asciiTheme="minorHAnsi" w:cstheme="minorHAnsi" w:hAnsiTheme="minorHAnsi"/>
          <w:sz w:val="24"/>
          <w:szCs w:val="24"/>
        </w:rPr>
        <w:t>or</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special</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considerations</w:t>
      </w:r>
      <w:r>
        <w:rPr>
          <w:rFonts w:cs="Calibri" w:ascii="Calibri" w:hAnsi="Calibri" w:asciiTheme="minorHAnsi" w:cstheme="minorHAnsi" w:hAnsiTheme="minorHAnsi"/>
          <w:spacing w:val="45"/>
          <w:sz w:val="24"/>
          <w:szCs w:val="24"/>
        </w:rPr>
        <w:t xml:space="preserve"> </w:t>
      </w:r>
      <w:r>
        <w:rPr>
          <w:rFonts w:cs="Calibri" w:ascii="Calibri" w:hAnsi="Calibri" w:asciiTheme="minorHAnsi" w:cstheme="minorHAnsi" w:hAnsiTheme="minorHAnsi"/>
          <w:sz w:val="24"/>
          <w:szCs w:val="24"/>
        </w:rPr>
        <w:t>without</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compromising</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45"/>
          <w:sz w:val="24"/>
          <w:szCs w:val="24"/>
        </w:rPr>
        <w:t xml:space="preserve"> </w:t>
      </w:r>
      <w:r>
        <w:rPr>
          <w:rFonts w:cs="Calibri" w:ascii="Calibri" w:hAnsi="Calibri" w:asciiTheme="minorHAnsi" w:cstheme="minorHAnsi" w:hAnsiTheme="minorHAnsi"/>
          <w:sz w:val="24"/>
          <w:szCs w:val="24"/>
        </w:rPr>
        <w:t xml:space="preserve">assessment of skills, knowledge, understanding or competence being measured ,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sz w:val="24"/>
          <w:szCs w:val="24"/>
        </w:rPr>
        <w:t xml:space="preserve"> achieve this through;</w:t>
      </w:r>
    </w:p>
    <w:p>
      <w:pPr>
        <w:sectPr>
          <w:type w:val="continuous"/>
          <w:pgSz w:w="11906" w:h="16838"/>
          <w:pgMar w:left="1300" w:right="740" w:gutter="0" w:header="735" w:top="1040" w:footer="0" w:bottom="280"/>
          <w:formProt w:val="false"/>
          <w:textDirection w:val="lrTb"/>
          <w:docGrid w:type="default" w:linePitch="600" w:charSpace="36864"/>
        </w:sectPr>
      </w:pPr>
    </w:p>
    <w:p>
      <w:pPr>
        <w:pStyle w:val="Normal"/>
        <w:rPr/>
      </w:pPr>
      <w:r>
        <w:rPr/>
        <w:t>;</w:t>
      </w:r>
    </w:p>
    <w:p>
      <w:pPr>
        <w:pStyle w:val="Normal"/>
        <w:rPr/>
      </w:pPr>
      <w:r>
        <w:rPr/>
      </w:r>
    </w:p>
    <w:p>
      <w:pPr>
        <w:pStyle w:val="Heading2"/>
        <w:rPr>
          <w:rFonts w:ascii="Calibri" w:hAnsi="Calibri" w:cs="Calibri" w:asciiTheme="minorHAnsi" w:cstheme="minorHAnsi" w:hAnsiTheme="minorHAnsi"/>
          <w:i w:val="false"/>
          <w:i w:val="false"/>
          <w:iCs/>
          <w:sz w:val="24"/>
          <w:szCs w:val="24"/>
        </w:rPr>
      </w:pPr>
      <w:r>
        <w:rPr>
          <w:rFonts w:cs="Calibri" w:ascii="Calibri" w:hAnsi="Calibri" w:asciiTheme="minorHAnsi" w:cstheme="minorHAnsi" w:hAnsiTheme="minorHAnsi"/>
          <w:i w:val="false"/>
          <w:iCs/>
          <w:sz w:val="24"/>
          <w:szCs w:val="24"/>
        </w:rPr>
        <w:t>Reasonable Adjustments</w:t>
      </w:r>
    </w:p>
    <w:p>
      <w:pPr>
        <w:pStyle w:val="BodyText"/>
        <w:spacing w:before="94" w:after="0"/>
        <w:ind w:left="327"/>
        <w:rPr>
          <w:rFonts w:ascii="Calibri" w:hAnsi="Calibri" w:cs="Calibri" w:asciiTheme="minorHAnsi" w:cstheme="minorHAnsi" w:hAnsiTheme="minorHAnsi"/>
          <w:sz w:val="24"/>
          <w:szCs w:val="24"/>
        </w:rPr>
      </w:pP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consider requests for Reasonable Adjustments and Special Considerations.</w:t>
      </w:r>
    </w:p>
    <w:p>
      <w:pPr>
        <w:pStyle w:val="BodyText"/>
        <w:spacing w:before="5"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40" w:before="94" w:after="0"/>
        <w:ind w:left="546" w:right="99"/>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This is agreed at point of booking/registration. The learner must request within a reasonable timeframe any adjustments that may be needed to reduce the effect of a disability or difficulty, which places the learner at a substantial disadvantage. Any requests for reasonable adjustments must not affect the quality and reliability of the learning outcomes nor must they give the learner an advantage over other learners undertaking the same or similar training.</w:t>
      </w:r>
    </w:p>
    <w:p>
      <w:pPr>
        <w:pStyle w:val="Normal"/>
        <w:ind w:left="546" w:right="99"/>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Reasonable Adjustments may not be applied to training that will provide a “licence to practice” or where the learner needs to demonstrate a practical competence.</w:t>
      </w:r>
    </w:p>
    <w:p>
      <w:pPr>
        <w:pStyle w:val="BodyText"/>
        <w:spacing w:before="8" w:after="0"/>
        <w:rPr>
          <w:rFonts w:ascii="Calibri" w:hAnsi="Calibri" w:cs="Calibri" w:asciiTheme="minorHAnsi" w:cstheme="minorHAnsi" w:hAnsiTheme="minorHAnsi"/>
          <w:i/>
          <w:i/>
          <w:sz w:val="24"/>
          <w:szCs w:val="24"/>
        </w:rPr>
      </w:pPr>
      <w:r>
        <w:rPr>
          <w:rFonts w:cs="Calibri" w:cstheme="minorHAnsi" w:ascii="Calibri" w:hAnsi="Calibri"/>
          <w:i/>
          <w:sz w:val="24"/>
          <w:szCs w:val="24"/>
        </w:rPr>
      </w:r>
    </w:p>
    <w:p>
      <w:pPr>
        <w:pStyle w:val="Heading2"/>
        <w:spacing w:before="1" w:after="0"/>
        <w:rPr>
          <w:rFonts w:ascii="Calibri" w:hAnsi="Calibri" w:cs="Calibri" w:asciiTheme="minorHAnsi" w:cstheme="minorHAnsi" w:hAnsiTheme="minorHAnsi"/>
          <w:i w:val="false"/>
          <w:i w:val="false"/>
          <w:iCs/>
          <w:sz w:val="24"/>
          <w:szCs w:val="24"/>
        </w:rPr>
      </w:pPr>
      <w:r>
        <w:rPr>
          <w:rFonts w:cs="Calibri" w:ascii="Calibri" w:hAnsi="Calibri" w:asciiTheme="minorHAnsi" w:cstheme="minorHAnsi" w:hAnsiTheme="minorHAnsi"/>
          <w:i w:val="false"/>
          <w:iCs/>
          <w:sz w:val="24"/>
          <w:szCs w:val="24"/>
        </w:rPr>
        <w:t>Special Considerations</w:t>
      </w:r>
    </w:p>
    <w:p>
      <w:pPr>
        <w:pStyle w:val="Normal"/>
        <w:ind w:left="546" w:right="123"/>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A special consideration request can be made during or after a training event to reflect temporary illness, injury or indisposition that occurred at the time of the event. Any special considerations granted cannot remove the difficulty the learner faced at the time of the event and can only be a relatively small adjustment to ensure that the integrity of the training is not compromised. Special consideration may not be applied to training that will provide a “licence to practice” or where the learner needs to demonstrate a practical competence.</w:t>
      </w:r>
    </w:p>
    <w:p>
      <w:pPr>
        <w:pStyle w:val="BodyText"/>
        <w:rPr>
          <w:rFonts w:ascii="Calibri" w:hAnsi="Calibri" w:cs="Calibri" w:asciiTheme="minorHAnsi" w:cstheme="minorHAnsi" w:hAnsiTheme="minorHAnsi"/>
          <w:i/>
          <w:i/>
          <w:sz w:val="24"/>
          <w:szCs w:val="24"/>
        </w:rPr>
      </w:pPr>
      <w:r>
        <w:rPr>
          <w:rFonts w:cs="Calibri" w:cstheme="minorHAnsi" w:ascii="Calibri" w:hAnsi="Calibri"/>
          <w:i/>
          <w:sz w:val="24"/>
          <w:szCs w:val="24"/>
        </w:rPr>
      </w:r>
    </w:p>
    <w:p>
      <w:pPr>
        <w:sectPr>
          <w:type w:val="continuous"/>
          <w:pgSz w:w="11906" w:h="16838"/>
          <w:pgMar w:left="1300" w:right="740" w:gutter="0" w:header="735" w:top="1040" w:footer="0" w:bottom="280"/>
          <w:formProt w:val="false"/>
          <w:textDirection w:val="lrTb"/>
          <w:docGrid w:type="default" w:linePitch="600" w:charSpace="36864"/>
        </w:sectPr>
      </w:pPr>
    </w:p>
    <w:p>
      <w:pPr>
        <w:pStyle w:val="BodyText"/>
        <w:spacing w:before="94" w:after="0"/>
        <w:rPr>
          <w:rFonts w:ascii="Calibri" w:hAnsi="Calibri" w:cs="Calibri" w:asciiTheme="minorHAnsi" w:cstheme="minorHAnsi" w:hAnsiTheme="minorHAnsi"/>
          <w:sz w:val="24"/>
          <w:szCs w:val="24"/>
        </w:rPr>
      </w:pPr>
      <w:r>
        <w:rPr>
          <w:rFonts w:cs="Calibri" w:ascii="Calibri" w:hAnsi="Calibri" w:asciiTheme="minorHAnsi" w:hAnsiTheme="minorHAnsi"/>
          <w:color w:val="333333"/>
          <w:sz w:val="24"/>
          <w:szCs w:val="24"/>
          <w:shd w:fill="FFFF00" w:val="clear"/>
        </w:rPr>
        <w:t xml:space="preserve">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only consider requests for Reasonable Adjustments and Special</w:t>
      </w:r>
    </w:p>
    <w:p>
      <w:pPr>
        <w:pStyle w:val="BodyText"/>
        <w:spacing w:before="1" w:after="0"/>
        <w:ind w:left="118" w:right="42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Considerations submitted within a timely manner and have completed the appropriate paperwork for these requests.</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w:t>
      </w:r>
    </w:p>
    <w:p>
      <w:pPr>
        <w:pStyle w:val="BodyText"/>
        <w:ind w:left="118" w:right="9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reasonable adjustment helps to reduce the effect of a disability or a difficulty that places the learner at a substantial disadvantage.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12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 must not affect the quality and reliability of the learning outcomes, but may include;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tabs>
          <w:tab w:val="clear" w:pos="720"/>
          <w:tab w:val="left" w:pos="838" w:leader="none"/>
          <w:tab w:val="left" w:pos="839" w:leader="none"/>
        </w:tabs>
        <w:spacing w:lineRule="auto" w:line="240"/>
        <w:ind w:hanging="360" w:left="838" w:right="37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Ensuring any online learning is more accessible (such as ability to adjust display settings and providing advice/guidance on speech</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technology)</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Providing assistance during an assessment of</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learning</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Adapting materials or providing it on coloured</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paper</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Re-organising the physical assessment/learning</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environment</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Use of mechanical and electronic</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aids</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Use of assistive software</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Use of low vision</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aids</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British Sign</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Language</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 must be approved and set in place prior to any assessment or learning is carried out.</w:t>
      </w:r>
    </w:p>
    <w:p>
      <w:pPr>
        <w:sectPr>
          <w:type w:val="continuous"/>
          <w:pgSz w:w="11906" w:h="16838"/>
          <w:pgMar w:left="1300" w:right="740" w:gutter="0" w:header="735" w:top="1040" w:footer="0" w:bottom="280"/>
          <w:formProt w:val="false"/>
          <w:textDirection w:val="lrTb"/>
          <w:docGrid w:type="default" w:linePitch="600" w:charSpace="36864"/>
        </w:sectPr>
      </w:pPr>
    </w:p>
    <w:p>
      <w:pPr>
        <w:pStyle w:val="Normal"/>
        <w:spacing w:lineRule="exact" w:line="228"/>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assessment of work following a reasonable adjustment has been made must be carried out in the same way of work from other learners.</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 must never give a learner and advantage to other learners and must never affect the quality or reliability of the learning.</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23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It is important to note that not all requests for reasonable adjustments may be granted if they are not deemed reasonable, permissible or practical in certain situations. The learner may not need, nor be allowed, the same adjustments for all learning.</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Requests for reasonable adjustments are approved by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prior to any</w:t>
      </w:r>
    </w:p>
    <w:p>
      <w:pPr>
        <w:pStyle w:val="BodyText"/>
        <w:spacing w:before="1" w:after="0"/>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bookings/registrations are taken. They are intended to allow access to training / assessment but can only be approved if the adjustment does not;</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tabs>
          <w:tab w:val="clear" w:pos="720"/>
          <w:tab w:val="left" w:pos="838" w:leader="none"/>
          <w:tab w:val="left" w:pos="839" w:leader="none"/>
        </w:tabs>
        <w:spacing w:lineRule="auto" w:line="2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Affect the quality and reliability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learning</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an unfair advantage to other</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learners</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Influence or compromise the final outcome of the assessment of</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learning</w:t>
      </w:r>
    </w:p>
    <w:p>
      <w:pPr>
        <w:pStyle w:val="BodyText"/>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Any requests for reasonable adjustments must be made to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within 7 days of registration / booking or at least 28 working days before an assessment / classroom event using the appropriate paperwork.  If you are unsure if a learner requires a reasonable adjustment, please speak with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who will provide the relevant guidance.</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ind w:left="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Special Considerations</w:t>
      </w:r>
    </w:p>
    <w:p>
      <w:pPr>
        <w:pStyle w:val="BodyText"/>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special consideration is consideration given to a learner who was prepared and present at an assessment but may have been disadvantaged by temporary illness, injury or adverse circumstances outside of their control.</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It is important to note that special consideration may not be possible where assessment requires the demonstration of practical competence, or the training provides a “licence to practice”.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an assessment of learning is carried out and marked by a computer, the learner will have the ability to take it at a later date however this must be completed prior to any practical assessments or other learning is carried out.</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24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 special consideration cannot give a learner an unfair advantage to other learners and must not mislead the learners’ achievement. The learner’s results must reflect their true achievement and not potential ability.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decision on requests for special considerations will vary from learner to learner and one subject to another. The factors may include the severity of the consideration, date of assessment and the nature of the assessment such as practical or oral presentation.</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learner may be eligible for special considerations if;</w:t>
      </w:r>
    </w:p>
    <w:p>
      <w:pPr>
        <w:pStyle w:val="BodyText"/>
        <w:spacing w:before="1"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tabs>
          <w:tab w:val="clear" w:pos="720"/>
          <w:tab w:val="left" w:pos="838" w:leader="none"/>
          <w:tab w:val="left" w:pos="839" w:leader="none"/>
        </w:tabs>
        <w:spacing w:lineRule="auto" w:line="240" w:before="1" w:after="0"/>
        <w:ind w:hanging="360" w:left="838" w:right="2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performance in an assessment is affected by circumstances out of their control, such as recent personal illness, accident or</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bereavement</w:t>
      </w:r>
    </w:p>
    <w:p>
      <w:pPr>
        <w:pStyle w:val="ListParagraph"/>
        <w:numPr>
          <w:ilvl w:val="0"/>
          <w:numId w:val="1"/>
        </w:numPr>
        <w:tabs>
          <w:tab w:val="clear" w:pos="720"/>
          <w:tab w:val="left" w:pos="838" w:leader="none"/>
          <w:tab w:val="left" w:pos="839" w:leader="none"/>
        </w:tabs>
        <w:spacing w:lineRule="auto" w:line="240" w:before="1" w:after="0"/>
        <w:ind w:hanging="360" w:left="838" w:right="54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Alternative arrangements which were agreed in advance proved to be inappropriate or inadequate</w:t>
      </w:r>
    </w:p>
    <w:p>
      <w:pPr>
        <w:pStyle w:val="ListParagraph"/>
        <w:numPr>
          <w:ilvl w:val="0"/>
          <w:numId w:val="1"/>
        </w:numPr>
        <w:tabs>
          <w:tab w:val="clear" w:pos="720"/>
          <w:tab w:val="left" w:pos="838" w:leader="none"/>
          <w:tab w:val="left" w:pos="839" w:leader="none"/>
        </w:tabs>
        <w:spacing w:lineRule="auto" w:line="240" w:before="1" w:after="0"/>
        <w:ind w:hanging="360" w:left="838" w:right="1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Part of an assessment / event was missed due to circumstances beyond the control of the learner</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learner will not be eligible for special consideration if;</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leaner has not been affected at the time of an assessment by a particular</w:t>
      </w:r>
      <w:r>
        <w:rPr>
          <w:rFonts w:cs="Calibri" w:ascii="Calibri" w:hAnsi="Calibri" w:asciiTheme="minorHAnsi" w:cstheme="minorHAnsi" w:hAnsiTheme="minorHAnsi"/>
          <w:spacing w:val="21"/>
          <w:sz w:val="24"/>
          <w:szCs w:val="24"/>
        </w:rPr>
        <w:t xml:space="preserve"> </w:t>
      </w:r>
      <w:r>
        <w:rPr>
          <w:rFonts w:cs="Calibri" w:ascii="Calibri" w:hAnsi="Calibri" w:asciiTheme="minorHAnsi" w:cstheme="minorHAnsi" w:hAnsiTheme="minorHAnsi"/>
          <w:sz w:val="24"/>
          <w:szCs w:val="24"/>
        </w:rPr>
        <w:t>condition</w:t>
      </w:r>
    </w:p>
    <w:p>
      <w:pPr>
        <w:pStyle w:val="ListParagraph"/>
        <w:numPr>
          <w:ilvl w:val="1"/>
          <w:numId w:val="1"/>
        </w:numPr>
        <w:tabs>
          <w:tab w:val="clear" w:pos="720"/>
          <w:tab w:val="left" w:pos="1038" w:leader="none"/>
          <w:tab w:val="left" w:pos="1039" w:leader="none"/>
        </w:tabs>
        <w:spacing w:lineRule="auto" w:line="240"/>
        <w:ind w:hanging="360" w:left="1038" w:right="28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Part of an assessment / event is missed due to personal arrangements including holidays or unauthorised absence</w:t>
      </w:r>
    </w:p>
    <w:p>
      <w:pPr>
        <w:pStyle w:val="ListParagraph"/>
        <w:numPr>
          <w:ilvl w:val="1"/>
          <w:numId w:val="1"/>
        </w:numPr>
        <w:tabs>
          <w:tab w:val="clear" w:pos="720"/>
          <w:tab w:val="left" w:pos="1038" w:leader="none"/>
          <w:tab w:val="left" w:pos="1039" w:leader="none"/>
        </w:tabs>
        <w:spacing w:lineRule="auto" w:line="240" w:before="2" w:after="0"/>
        <w:ind w:hanging="360" w:left="1038" w:right="49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event / assessment is affected by difficulties such as disturbances through building work, lack of proper facilities, changes in or shortages of staff or industrial</w:t>
      </w:r>
      <w:r>
        <w:rPr>
          <w:rFonts w:cs="Calibri" w:ascii="Calibri" w:hAnsi="Calibri" w:asciiTheme="minorHAnsi" w:cstheme="minorHAnsi" w:hAnsiTheme="minorHAnsi"/>
          <w:spacing w:val="30"/>
          <w:sz w:val="24"/>
          <w:szCs w:val="24"/>
        </w:rPr>
        <w:t xml:space="preserve"> </w:t>
      </w:r>
      <w:r>
        <w:rPr>
          <w:rFonts w:cs="Calibri" w:ascii="Calibri" w:hAnsi="Calibri" w:asciiTheme="minorHAnsi" w:cstheme="minorHAnsi" w:hAnsiTheme="minorHAnsi"/>
          <w:sz w:val="24"/>
          <w:szCs w:val="24"/>
        </w:rPr>
        <w:t>disputes</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Examples of circumstances where special consideration may be given are;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Terminal illness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Recent bereavement of a member of the immediate</w:t>
      </w:r>
      <w:r>
        <w:rPr>
          <w:rFonts w:cs="Calibri" w:ascii="Calibri" w:hAnsi="Calibri" w:asciiTheme="minorHAnsi" w:cstheme="minorHAnsi" w:hAnsiTheme="minorHAnsi"/>
          <w:spacing w:val="18"/>
          <w:sz w:val="24"/>
          <w:szCs w:val="24"/>
        </w:rPr>
        <w:t xml:space="preserve"> </w:t>
      </w:r>
      <w:r>
        <w:rPr>
          <w:rFonts w:cs="Calibri" w:ascii="Calibri" w:hAnsi="Calibri" w:asciiTheme="minorHAnsi" w:cstheme="minorHAnsi" w:hAnsiTheme="minorHAnsi"/>
          <w:sz w:val="24"/>
          <w:szCs w:val="24"/>
        </w:rPr>
        <w:t>family</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Serious of disruptive domestic crises leading to acute anxiety about the</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family</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Incapacitating illness or injury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Severe car accident</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Outbreak of infection where learners are in</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isolation</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Lost or damaged work beyond the control of the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learner</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ind w:left="318"/>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Special consideration will not be granted for minor illness or a minor disturbance.</w:t>
      </w:r>
    </w:p>
    <w:p>
      <w:pPr>
        <w:pStyle w:val="Normal"/>
        <w:ind w:left="318"/>
        <w:rPr>
          <w:rFonts w:ascii="Calibri" w:hAnsi="Calibri" w:cs="Calibri" w:asciiTheme="minorHAnsi" w:cstheme="minorHAnsi" w:hAnsiTheme="minorHAnsi"/>
          <w:iCs/>
          <w:sz w:val="24"/>
          <w:szCs w:val="24"/>
        </w:rPr>
      </w:pPr>
      <w:r>
        <w:rPr>
          <w:rFonts w:cs="Calibri" w:cstheme="minorHAnsi" w:ascii="Calibri" w:hAnsi="Calibri"/>
          <w:iCs/>
          <w:sz w:val="24"/>
          <w:szCs w:val="24"/>
        </w:rPr>
      </w:r>
    </w:p>
    <w:p>
      <w:pPr>
        <w:pStyle w:val="BodyText"/>
        <w:spacing w:before="94" w:after="0"/>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Requests for special considerations are approved by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Applications for special</w:t>
      </w:r>
    </w:p>
    <w:p>
      <w:pPr>
        <w:pStyle w:val="BodyText"/>
        <w:spacing w:lineRule="auto" w:line="240"/>
        <w:ind w:left="318" w:right="2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considerations must be made on case-by-case basis and thus separate applications must be made for each learner. Any requests for special considerations will only be approved if they do not;</w:t>
      </w:r>
    </w:p>
    <w:p>
      <w:pPr>
        <w:pStyle w:val="ListParagraph"/>
        <w:numPr>
          <w:ilvl w:val="1"/>
          <w:numId w:val="1"/>
        </w:numPr>
        <w:tabs>
          <w:tab w:val="clear" w:pos="720"/>
          <w:tab w:val="left" w:pos="1038" w:leader="none"/>
          <w:tab w:val="left" w:pos="1039" w:leader="none"/>
        </w:tabs>
        <w:spacing w:lineRule="exact" w:line="268" w:before="6"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Affect the quality and reliability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learning</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an unfair advantage to other</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learners</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Influence or compromise the final outcome of the assessment of</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learning</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3" w:after="0"/>
        <w:ind w:left="3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Any requests for special considerations must be made to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within 7 days of the</w:t>
      </w:r>
    </w:p>
    <w:p>
      <w:pPr>
        <w:pStyle w:val="BodyText"/>
        <w:spacing w:before="1" w:after="0"/>
        <w:ind w:left="3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event or assessment using the appropriate paperwork.  If you are unsure if a learner requires a</w:t>
      </w:r>
    </w:p>
    <w:p>
      <w:pPr>
        <w:pStyle w:val="BodyText"/>
        <w:spacing w:before="1" w:after="0"/>
        <w:ind w:left="313" w:right="-2"/>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special consideration please speak with </w:t>
      </w:r>
      <w:r>
        <w:rPr>
          <w:rFonts w:cs="Calibri" w:ascii="Calibri" w:hAnsi="Calibri" w:asciiTheme="minorHAnsi" w:hAnsiTheme="minorHAnsi"/>
          <w:color w:val="333333"/>
          <w:sz w:val="24"/>
          <w:szCs w:val="24"/>
          <w:shd w:fill="FFFF00" w:val="clear"/>
        </w:rPr>
        <w:t>Aquatic</w:t>
      </w:r>
      <w:r>
        <w:rPr>
          <w:rFonts w:cs="Calibri" w:ascii="Calibri" w:hAnsi="Calibri" w:asciiTheme="minorHAnsi" w:hAnsiTheme="minorHAnsi"/>
          <w:color w:val="333333"/>
          <w:sz w:val="24"/>
          <w:szCs w:val="24"/>
          <w:shd w:fill="FFFF00" w:val="clear"/>
        </w:rPr>
        <w:t xml:space="preserv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who will provide the relevant guidance.</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313" w:right="2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It is important to note that special consideration will not be granted if / where learner achievement has been acknowledged and certified.</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BodyText"/>
        <w:spacing w:before="8" w:after="0"/>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2" wp14:anchorId="3F46F015">
                <wp:simplePos x="0" y="0"/>
                <wp:positionH relativeFrom="page">
                  <wp:posOffset>774065</wp:posOffset>
                </wp:positionH>
                <wp:positionV relativeFrom="paragraph">
                  <wp:posOffset>83820</wp:posOffset>
                </wp:positionV>
                <wp:extent cx="4073525" cy="1798955"/>
                <wp:effectExtent l="0" t="0" r="0" b="0"/>
                <wp:wrapNone/>
                <wp:docPr id="1" name="Text Box 2"/>
                <a:graphic xmlns:a="http://schemas.openxmlformats.org/drawingml/2006/main">
                  <a:graphicData uri="http://schemas.microsoft.com/office/word/2010/wordprocessingShape">
                    <wps:wsp>
                      <wps:cNvSpPr/>
                      <wps:spPr>
                        <a:xfrm>
                          <a:off x="0" y="0"/>
                          <a:ext cx="4073400" cy="1798920"/>
                        </a:xfrm>
                        <a:prstGeom prst="rect">
                          <a:avLst/>
                        </a:prstGeom>
                        <a:noFill/>
                        <a:ln w="0">
                          <a:noFill/>
                        </a:ln>
                      </wps:spPr>
                      <wps:style>
                        <a:lnRef idx="0"/>
                        <a:fillRef idx="0"/>
                        <a:effectRef idx="0"/>
                        <a:fontRef idx="minor"/>
                      </wps:style>
                      <wps:txbx>
                        <w:txbxContent>
                          <w:tbl>
                            <w:tblPr>
                              <w:tblW w:w="607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71"/>
                            </w:tblGrid>
                            <w:tr>
                              <w:trPr>
                                <w:trHeight w:val="381" w:hRule="atLeast"/>
                              </w:trPr>
                              <w:tc>
                                <w:tcPr>
                                  <w:tcW w:w="6071" w:type="dxa"/>
                                  <w:tcBorders/>
                                </w:tcPr>
                                <w:p>
                                  <w:pPr>
                                    <w:pStyle w:val="TableParagraph"/>
                                    <w:spacing w:lineRule="exact" w:line="247"/>
                                    <w:rPr>
                                      <w:b/>
                                    </w:rPr>
                                  </w:pPr>
                                  <w:r>
                                    <w:rPr>
                                      <w:b/>
                                    </w:rPr>
                                    <w:t>Name: D</w:t>
                                  </w:r>
                                  <w:r>
                                    <w:rPr>
                                      <w:b/>
                                      <w:highlight w:val="yellow"/>
                                    </w:rPr>
                                    <w:t>on E. Holmes III</w:t>
                                  </w:r>
                                </w:p>
                              </w:tc>
                            </w:tr>
                            <w:tr>
                              <w:trPr>
                                <w:trHeight w:val="501" w:hRule="atLeast"/>
                              </w:trPr>
                              <w:tc>
                                <w:tcPr>
                                  <w:tcW w:w="6071" w:type="dxa"/>
                                  <w:tcBorders/>
                                </w:tcPr>
                                <w:p>
                                  <w:pPr>
                                    <w:pStyle w:val="TableParagraph"/>
                                    <w:spacing w:before="134" w:after="0"/>
                                    <w:rPr>
                                      <w:b/>
                                    </w:rPr>
                                  </w:pPr>
                                  <w:r>
                                    <w:rPr>
                                      <w:b/>
                                    </w:rPr>
                                    <w:t>Position: O</w:t>
                                  </w:r>
                                  <w:r>
                                    <w:rPr>
                                      <w:b/>
                                      <w:highlight w:val="yellow"/>
                                    </w:rPr>
                                    <w:t>wner</w:t>
                                  </w:r>
                                </w:p>
                              </w:tc>
                            </w:tr>
                            <w:tr>
                              <w:trPr>
                                <w:trHeight w:val="501" w:hRule="atLeast"/>
                              </w:trPr>
                              <w:tc>
                                <w:tcPr>
                                  <w:tcW w:w="6071" w:type="dxa"/>
                                  <w:tcBorders/>
                                </w:tcPr>
                                <w:p>
                                  <w:pPr>
                                    <w:pStyle w:val="TableParagraph"/>
                                    <w:spacing w:before="125" w:after="0"/>
                                    <w:rPr>
                                      <w:b/>
                                    </w:rPr>
                                  </w:pPr>
                                  <w:r>
                                    <w:rPr>
                                      <w:b/>
                                    </w:rPr>
                                    <w:t xml:space="preserve">Date: </w:t>
                                  </w:r>
                                  <w:r>
                                    <w:rPr>
                                      <w:b/>
                                      <w:highlight w:val="yellow"/>
                                    </w:rPr>
                                    <w:t>08/</w:t>
                                  </w:r>
                                  <w:r>
                                    <w:rPr>
                                      <w:b/>
                                      <w:highlight w:val="yellow"/>
                                    </w:rPr>
                                    <w:t>04</w:t>
                                  </w:r>
                                  <w:r>
                                    <w:rPr>
                                      <w:b/>
                                      <w:highlight w:val="yellow"/>
                                    </w:rPr>
                                    <w:t>/2024</w:t>
                                  </w:r>
                                </w:p>
                              </w:tc>
                            </w:tr>
                            <w:tr>
                              <w:trPr>
                                <w:trHeight w:val="762" w:hRule="atLeast"/>
                              </w:trPr>
                              <w:tc>
                                <w:tcPr>
                                  <w:tcW w:w="6071" w:type="dxa"/>
                                  <w:tcBorders/>
                                </w:tcPr>
                                <w:p>
                                  <w:pPr>
                                    <w:pStyle w:val="TableParagraph"/>
                                    <w:spacing w:before="134" w:after="0"/>
                                    <w:rPr>
                                      <w:b/>
                                    </w:rPr>
                                  </w:pPr>
                                  <w:r>
                                    <w:rPr>
                                      <w:b/>
                                    </w:rPr>
                                    <w:t xml:space="preserve">Signature: </w:t>
                                  </w:r>
                                  <w:r>
                                    <w:rPr>
                                      <w:b/>
                                      <w:highlight w:val="yellow"/>
                                    </w:rPr>
                                    <w:t>??</w:t>
                                  </w:r>
                                </w:p>
                              </w:tc>
                            </w:tr>
                            <w:tr>
                              <w:trPr>
                                <w:trHeight w:val="622" w:hRule="atLeast"/>
                              </w:trPr>
                              <w:tc>
                                <w:tcPr>
                                  <w:tcW w:w="6071" w:type="dxa"/>
                                  <w:tcBorders/>
                                </w:tcPr>
                                <w:p>
                                  <w:pPr>
                                    <w:pStyle w:val="TableParagraph"/>
                                    <w:ind w:left="0"/>
                                    <w:rPr>
                                      <w:sz w:val="33"/>
                                    </w:rPr>
                                  </w:pPr>
                                  <w:r>
                                    <w:rPr>
                                      <w:sz w:val="33"/>
                                    </w:rPr>
                                  </w:r>
                                </w:p>
                                <w:p>
                                  <w:pPr>
                                    <w:pStyle w:val="TableParagraph"/>
                                    <w:spacing w:lineRule="exact" w:line="233"/>
                                    <w:rPr>
                                      <w:b/>
                                    </w:rPr>
                                  </w:pPr>
                                  <w:r>
                                    <w:rPr>
                                      <w:b/>
                                    </w:rPr>
                                    <w:t xml:space="preserve">Review of Policy: </w:t>
                                  </w:r>
                                  <w:r>
                                    <w:rPr>
                                      <w:b/>
                                      <w:highlight w:val="yellow"/>
                                    </w:rPr>
                                    <w:t>??</w:t>
                                  </w:r>
                                </w:p>
                              </w:tc>
                            </w:tr>
                          </w:tbl>
                          <w:p>
                            <w:pPr>
                              <w:pStyle w:val="BodyText"/>
                              <w:rPr>
                                <w:color w:val="000000"/>
                              </w:rPr>
                            </w:pPr>
                            <w:r>
                              <w:rPr>
                                <w:color w:val="000000"/>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0.95pt;margin-top:6.6pt;width:320.7pt;height:141.6pt;mso-wrap-style:none;v-text-anchor:middle;mso-position-horizontal-relative:page" wp14:anchorId="3F46F015">
                <v:fill o:detectmouseclick="t" on="false"/>
                <v:stroke color="#3465a4" joinstyle="round" endcap="flat"/>
                <v:textbox>
                  <w:txbxContent>
                    <w:tbl>
                      <w:tblPr>
                        <w:tblW w:w="607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71"/>
                      </w:tblGrid>
                      <w:tr>
                        <w:trPr>
                          <w:trHeight w:val="381" w:hRule="atLeast"/>
                        </w:trPr>
                        <w:tc>
                          <w:tcPr>
                            <w:tcW w:w="6071" w:type="dxa"/>
                            <w:tcBorders/>
                          </w:tcPr>
                          <w:p>
                            <w:pPr>
                              <w:pStyle w:val="TableParagraph"/>
                              <w:spacing w:lineRule="exact" w:line="247"/>
                              <w:rPr>
                                <w:b/>
                              </w:rPr>
                            </w:pPr>
                            <w:r>
                              <w:rPr>
                                <w:b/>
                              </w:rPr>
                              <w:t>Name: D</w:t>
                            </w:r>
                            <w:r>
                              <w:rPr>
                                <w:b/>
                                <w:highlight w:val="yellow"/>
                              </w:rPr>
                              <w:t>on E. Holmes III</w:t>
                            </w:r>
                          </w:p>
                        </w:tc>
                      </w:tr>
                      <w:tr>
                        <w:trPr>
                          <w:trHeight w:val="501" w:hRule="atLeast"/>
                        </w:trPr>
                        <w:tc>
                          <w:tcPr>
                            <w:tcW w:w="6071" w:type="dxa"/>
                            <w:tcBorders/>
                          </w:tcPr>
                          <w:p>
                            <w:pPr>
                              <w:pStyle w:val="TableParagraph"/>
                              <w:spacing w:before="134" w:after="0"/>
                              <w:rPr>
                                <w:b/>
                              </w:rPr>
                            </w:pPr>
                            <w:r>
                              <w:rPr>
                                <w:b/>
                              </w:rPr>
                              <w:t>Position: O</w:t>
                            </w:r>
                            <w:r>
                              <w:rPr>
                                <w:b/>
                                <w:highlight w:val="yellow"/>
                              </w:rPr>
                              <w:t>wner</w:t>
                            </w:r>
                          </w:p>
                        </w:tc>
                      </w:tr>
                      <w:tr>
                        <w:trPr>
                          <w:trHeight w:val="501" w:hRule="atLeast"/>
                        </w:trPr>
                        <w:tc>
                          <w:tcPr>
                            <w:tcW w:w="6071" w:type="dxa"/>
                            <w:tcBorders/>
                          </w:tcPr>
                          <w:p>
                            <w:pPr>
                              <w:pStyle w:val="TableParagraph"/>
                              <w:spacing w:before="125" w:after="0"/>
                              <w:rPr>
                                <w:b/>
                              </w:rPr>
                            </w:pPr>
                            <w:r>
                              <w:rPr>
                                <w:b/>
                              </w:rPr>
                              <w:t xml:space="preserve">Date: </w:t>
                            </w:r>
                            <w:r>
                              <w:rPr>
                                <w:b/>
                                <w:highlight w:val="yellow"/>
                              </w:rPr>
                              <w:t>08/</w:t>
                            </w:r>
                            <w:r>
                              <w:rPr>
                                <w:b/>
                                <w:highlight w:val="yellow"/>
                              </w:rPr>
                              <w:t>04</w:t>
                            </w:r>
                            <w:r>
                              <w:rPr>
                                <w:b/>
                                <w:highlight w:val="yellow"/>
                              </w:rPr>
                              <w:t>/2024</w:t>
                            </w:r>
                          </w:p>
                        </w:tc>
                      </w:tr>
                      <w:tr>
                        <w:trPr>
                          <w:trHeight w:val="762" w:hRule="atLeast"/>
                        </w:trPr>
                        <w:tc>
                          <w:tcPr>
                            <w:tcW w:w="6071" w:type="dxa"/>
                            <w:tcBorders/>
                          </w:tcPr>
                          <w:p>
                            <w:pPr>
                              <w:pStyle w:val="TableParagraph"/>
                              <w:spacing w:before="134" w:after="0"/>
                              <w:rPr>
                                <w:b/>
                              </w:rPr>
                            </w:pPr>
                            <w:r>
                              <w:rPr>
                                <w:b/>
                              </w:rPr>
                              <w:t xml:space="preserve">Signature: </w:t>
                            </w:r>
                            <w:r>
                              <w:rPr>
                                <w:b/>
                                <w:highlight w:val="yellow"/>
                              </w:rPr>
                              <w:t>??</w:t>
                            </w:r>
                          </w:p>
                        </w:tc>
                      </w:tr>
                      <w:tr>
                        <w:trPr>
                          <w:trHeight w:val="622" w:hRule="atLeast"/>
                        </w:trPr>
                        <w:tc>
                          <w:tcPr>
                            <w:tcW w:w="6071" w:type="dxa"/>
                            <w:tcBorders/>
                          </w:tcPr>
                          <w:p>
                            <w:pPr>
                              <w:pStyle w:val="TableParagraph"/>
                              <w:ind w:left="0"/>
                              <w:rPr>
                                <w:sz w:val="33"/>
                              </w:rPr>
                            </w:pPr>
                            <w:r>
                              <w:rPr>
                                <w:sz w:val="33"/>
                              </w:rPr>
                            </w:r>
                          </w:p>
                          <w:p>
                            <w:pPr>
                              <w:pStyle w:val="TableParagraph"/>
                              <w:spacing w:lineRule="exact" w:line="233"/>
                              <w:rPr>
                                <w:b/>
                              </w:rPr>
                            </w:pPr>
                            <w:r>
                              <w:rPr>
                                <w:b/>
                              </w:rPr>
                              <w:t xml:space="preserve">Review of Policy: </w:t>
                            </w:r>
                            <w:r>
                              <w:rPr>
                                <w:b/>
                                <w:highlight w:val="yellow"/>
                              </w:rPr>
                              <w:t>??</w:t>
                            </w:r>
                          </w:p>
                        </w:tc>
                      </w:tr>
                    </w:tbl>
                    <w:p>
                      <w:pPr>
                        <w:pStyle w:val="BodyText"/>
                        <w:rPr>
                          <w:color w:val="000000"/>
                        </w:rPr>
                      </w:pPr>
                      <w:r>
                        <w:rPr>
                          <w:color w:val="000000"/>
                        </w:rPr>
                      </w:r>
                    </w:p>
                  </w:txbxContent>
                </v:textbox>
                <w10:wrap type="none"/>
              </v:rect>
            </w:pict>
          </mc:Fallback>
        </mc:AlternateContent>
      </w:r>
    </w:p>
    <w:p>
      <w:pPr>
        <w:sectPr>
          <w:type w:val="continuous"/>
          <w:pgSz w:w="11906" w:h="16838"/>
          <w:pgMar w:left="1300" w:right="740" w:gutter="0" w:header="735" w:top="1040" w:footer="0" w:bottom="280"/>
          <w:formProt w:val="false"/>
          <w:textDirection w:val="lrTb"/>
          <w:docGrid w:type="default" w:linePitch="600" w:charSpace="36864"/>
        </w:sectPr>
      </w:pP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564" w:before="93" w:after="0"/>
        <w:ind w:right="5913"/>
        <w:rPr>
          <w:rFonts w:ascii="Calibri" w:hAnsi="Calibri" w:cs="Calibri" w:asciiTheme="minorHAnsi" w:cstheme="minorHAnsi" w:hAnsiTheme="minorHAnsi"/>
          <w:sz w:val="24"/>
          <w:szCs w:val="24"/>
        </w:rPr>
      </w:pPr>
      <w:r>
        <w:rPr>
          <w:rFonts w:cs="Calibri" w:cstheme="minorHAnsi" w:ascii="Calibri" w:hAnsi="Calibri"/>
          <w:sz w:val="24"/>
          <w:szCs w:val="24"/>
        </w:rPr>
      </w:r>
    </w:p>
    <w:sectPr>
      <w:type w:val="continuous"/>
      <w:pgSz w:w="11906" w:h="16838"/>
      <w:pgMar w:left="1300" w:right="740" w:gutter="0" w:header="735" w:top="1040" w:footer="0" w:bottom="280"/>
      <w:cols w:num="2" w:equalWidth="false" w:sep="false">
        <w:col w:w="3195" w:space="40"/>
        <w:col w:w="6630"/>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38" w:hanging="360"/>
      </w:pPr>
      <w:rPr>
        <w:rFonts w:ascii="Symbol" w:hAnsi="Symbol" w:cs="Symbol" w:hint="default"/>
        <w:sz w:val="22"/>
        <w:szCs w:val="22"/>
        <w:w w:val="100"/>
      </w:rPr>
    </w:lvl>
    <w:lvl w:ilvl="1">
      <w:start w:val="0"/>
      <w:numFmt w:val="bullet"/>
      <w:lvlText w:val=""/>
      <w:lvlJc w:val="left"/>
      <w:pPr>
        <w:tabs>
          <w:tab w:val="num" w:pos="0"/>
        </w:tabs>
        <w:ind w:left="1038" w:hanging="360"/>
      </w:pPr>
      <w:rPr>
        <w:rFonts w:ascii="Symbol" w:hAnsi="Symbol" w:cs="Symbol" w:hint="default"/>
        <w:sz w:val="22"/>
        <w:szCs w:val="22"/>
        <w:w w:val="100"/>
      </w:rPr>
    </w:lvl>
    <w:lvl w:ilvl="2">
      <w:start w:val="0"/>
      <w:numFmt w:val="bullet"/>
      <w:lvlText w:val=""/>
      <w:lvlJc w:val="left"/>
      <w:pPr>
        <w:tabs>
          <w:tab w:val="num" w:pos="0"/>
        </w:tabs>
        <w:ind w:left="2018" w:hanging="360"/>
      </w:pPr>
      <w:rPr>
        <w:rFonts w:ascii="Symbol" w:hAnsi="Symbol" w:cs="Symbol" w:hint="default"/>
      </w:rPr>
    </w:lvl>
    <w:lvl w:ilvl="3">
      <w:start w:val="0"/>
      <w:numFmt w:val="bullet"/>
      <w:lvlText w:val=""/>
      <w:lvlJc w:val="left"/>
      <w:pPr>
        <w:tabs>
          <w:tab w:val="num" w:pos="0"/>
        </w:tabs>
        <w:ind w:left="2996" w:hanging="360"/>
      </w:pPr>
      <w:rPr>
        <w:rFonts w:ascii="Symbol" w:hAnsi="Symbol" w:cs="Symbol" w:hint="default"/>
      </w:rPr>
    </w:lvl>
    <w:lvl w:ilvl="4">
      <w:start w:val="0"/>
      <w:numFmt w:val="bullet"/>
      <w:lvlText w:val=""/>
      <w:lvlJc w:val="left"/>
      <w:pPr>
        <w:tabs>
          <w:tab w:val="num" w:pos="0"/>
        </w:tabs>
        <w:ind w:left="3975" w:hanging="360"/>
      </w:pPr>
      <w:rPr>
        <w:rFonts w:ascii="Symbol" w:hAnsi="Symbol" w:cs="Symbol" w:hint="default"/>
      </w:rPr>
    </w:lvl>
    <w:lvl w:ilvl="5">
      <w:start w:val="0"/>
      <w:numFmt w:val="bullet"/>
      <w:lvlText w:val=""/>
      <w:lvlJc w:val="left"/>
      <w:pPr>
        <w:tabs>
          <w:tab w:val="num" w:pos="0"/>
        </w:tabs>
        <w:ind w:left="4953" w:hanging="360"/>
      </w:pPr>
      <w:rPr>
        <w:rFonts w:ascii="Symbol" w:hAnsi="Symbol" w:cs="Symbol" w:hint="default"/>
      </w:rPr>
    </w:lvl>
    <w:lvl w:ilvl="6">
      <w:start w:val="0"/>
      <w:numFmt w:val="bullet"/>
      <w:lvlText w:val=""/>
      <w:lvlJc w:val="left"/>
      <w:pPr>
        <w:tabs>
          <w:tab w:val="num" w:pos="0"/>
        </w:tabs>
        <w:ind w:left="5932" w:hanging="360"/>
      </w:pPr>
      <w:rPr>
        <w:rFonts w:ascii="Symbol" w:hAnsi="Symbol" w:cs="Symbol" w:hint="default"/>
      </w:rPr>
    </w:lvl>
    <w:lvl w:ilvl="7">
      <w:start w:val="0"/>
      <w:numFmt w:val="bullet"/>
      <w:lvlText w:val=""/>
      <w:lvlJc w:val="left"/>
      <w:pPr>
        <w:tabs>
          <w:tab w:val="num" w:pos="0"/>
        </w:tabs>
        <w:ind w:left="6910" w:hanging="360"/>
      </w:pPr>
      <w:rPr>
        <w:rFonts w:ascii="Symbol" w:hAnsi="Symbol" w:cs="Symbol" w:hint="default"/>
      </w:rPr>
    </w:lvl>
    <w:lvl w:ilvl="8">
      <w:start w:val="0"/>
      <w:numFmt w:val="bullet"/>
      <w:lvlText w:val=""/>
      <w:lvlJc w:val="left"/>
      <w:pPr>
        <w:tabs>
          <w:tab w:val="num" w:pos="0"/>
        </w:tabs>
        <w:ind w:left="7889"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before="94" w:after="0"/>
      <w:ind w:left="118"/>
      <w:outlineLvl w:val="0"/>
    </w:pPr>
    <w:rPr>
      <w:b/>
      <w:bCs/>
    </w:rPr>
  </w:style>
  <w:style w:type="paragraph" w:styleId="Heading2">
    <w:name w:val="Heading 2"/>
    <w:basedOn w:val="Normal"/>
    <w:uiPriority w:val="1"/>
    <w:qFormat/>
    <w:pPr>
      <w:ind w:left="546"/>
      <w:outlineLvl w:val="1"/>
    </w:pPr>
    <w:rPr>
      <w:b/>
      <w:bCs/>
      <w:i/>
    </w:rPr>
  </w:style>
  <w:style w:type="paragraph" w:styleId="Heading3">
    <w:name w:val="Heading 3"/>
    <w:basedOn w:val="Heading"/>
    <w:next w:val="BodyText"/>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7685c"/>
    <w:rPr>
      <w:rFonts w:ascii="Arial" w:hAnsi="Arial" w:eastAsia="Arial" w:cs="Arial"/>
    </w:rPr>
  </w:style>
  <w:style w:type="character" w:styleId="FooterChar" w:customStyle="1">
    <w:name w:val="Footer Char"/>
    <w:basedOn w:val="DefaultParagraphFont"/>
    <w:link w:val="Footer"/>
    <w:uiPriority w:val="99"/>
    <w:qFormat/>
    <w:rsid w:val="00b7685c"/>
    <w:rPr>
      <w:rFonts w:ascii="Arial" w:hAnsi="Arial" w:eastAsia="Arial" w:cs="Aria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spacing w:lineRule="exact" w:line="269"/>
      <w:ind w:hanging="360" w:left="838"/>
    </w:pPr>
    <w:rPr/>
  </w:style>
  <w:style w:type="paragraph" w:styleId="TableParagraph" w:customStyle="1">
    <w:name w:val="Table Paragraph"/>
    <w:basedOn w:val="Normal"/>
    <w:uiPriority w:val="1"/>
    <w:qFormat/>
    <w:pPr>
      <w:ind w:left="20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b7685c"/>
    <w:pPr>
      <w:tabs>
        <w:tab w:val="clear" w:pos="720"/>
        <w:tab w:val="center" w:pos="4513" w:leader="none"/>
        <w:tab w:val="right" w:pos="9026" w:leader="none"/>
      </w:tabs>
    </w:pPr>
    <w:rPr/>
  </w:style>
  <w:style w:type="paragraph" w:styleId="Footer">
    <w:name w:val="Footer"/>
    <w:basedOn w:val="Normal"/>
    <w:link w:val="FooterChar"/>
    <w:uiPriority w:val="99"/>
    <w:unhideWhenUsed/>
    <w:rsid w:val="00b7685c"/>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LibreOffice/24.2.3.2$Windows_X86_64 LibreOffice_project/433d9c2ded56988e8a90e6b2e771ee4e6a5ab2ba</Application>
  <AppVersion>15.0000</AppVersion>
  <Pages>3</Pages>
  <Words>1211</Words>
  <Characters>6584</Characters>
  <CharactersWithSpaces>7702</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2022-12-05T16:07:00Z</dcterms:created>
  <dc:creator/>
  <dc:description/>
  <dc:language>en-US</dc:language>
  <cp:lastModifiedBy/>
  <dcterms:modified xsi:type="dcterms:W3CDTF">2024-08-04T13:47:47Z</dcterms:modified>
  <cp:revision>4</cp:revision>
  <dc:subject/>
  <dc:title>Reasonable adjustment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